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367A" w:rsidRDefault="00CD4B37">
      <w:pPr>
        <w:pBdr>
          <w:top w:val="nil"/>
          <w:left w:val="nil"/>
          <w:bottom w:val="nil"/>
          <w:right w:val="nil"/>
          <w:between w:val="nil"/>
        </w:pBdr>
        <w:ind w:firstLine="45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Raleway" w:eastAsia="Raleway" w:hAnsi="Raleway" w:cs="Raleway"/>
          <w:b/>
          <w:smallCaps/>
          <w:sz w:val="32"/>
          <w:szCs w:val="32"/>
        </w:rPr>
        <w:t>POSITION DESCRIPTION</w:t>
      </w:r>
    </w:p>
    <w:tbl>
      <w:tblPr>
        <w:tblStyle w:val="a"/>
        <w:tblW w:w="1035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180"/>
        <w:gridCol w:w="2060"/>
        <w:gridCol w:w="3402"/>
      </w:tblGrid>
      <w:tr w:rsidR="00FA367A">
        <w:trPr>
          <w:trHeight w:val="560"/>
        </w:trPr>
        <w:tc>
          <w:tcPr>
            <w:tcW w:w="1710" w:type="dxa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Title</w:t>
            </w:r>
          </w:p>
        </w:tc>
        <w:tc>
          <w:tcPr>
            <w:tcW w:w="3180" w:type="dxa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Community Engagement Lead</w:t>
            </w:r>
          </w:p>
        </w:tc>
        <w:tc>
          <w:tcPr>
            <w:tcW w:w="2060" w:type="dxa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Division / Location</w:t>
            </w:r>
          </w:p>
        </w:tc>
        <w:tc>
          <w:tcPr>
            <w:tcW w:w="3402" w:type="dxa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Nunito" w:eastAsia="Nunito" w:hAnsi="Nunito" w:cs="Nunito"/>
                <w:color w:val="000000"/>
                <w:highlight w:val="yellow"/>
              </w:rPr>
            </w:pPr>
            <w:r>
              <w:rPr>
                <w:rFonts w:ascii="Nunito" w:eastAsia="Nunito" w:hAnsi="Nunito" w:cs="Nunito"/>
              </w:rPr>
              <w:t>Avenue Parramatta</w:t>
            </w:r>
          </w:p>
        </w:tc>
      </w:tr>
      <w:tr w:rsidR="00FA367A">
        <w:trPr>
          <w:trHeight w:val="4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Employment Type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Full-time, Permanent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Reporting 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Manager, Avenue Parramatta</w:t>
            </w:r>
          </w:p>
        </w:tc>
      </w:tr>
      <w:tr w:rsidR="00FA367A">
        <w:trPr>
          <w:trHeight w:val="420"/>
        </w:trPr>
        <w:tc>
          <w:tcPr>
            <w:tcW w:w="1710" w:type="dxa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Role summary</w:t>
            </w:r>
          </w:p>
        </w:tc>
        <w:tc>
          <w:tcPr>
            <w:tcW w:w="8642" w:type="dxa"/>
            <w:gridSpan w:val="3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The Community Engagement Lead will be responsible for both the initial engagement of participants and the ongoing relationship with them, within the Avenue location where the role is based. </w:t>
            </w:r>
          </w:p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Key areas of accountability include:</w:t>
            </w:r>
          </w:p>
          <w:p w:rsidR="00FA367A" w:rsidRDefault="00CD4B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Oversight of </w:t>
            </w:r>
            <w:proofErr w:type="gramStart"/>
            <w:r>
              <w:rPr>
                <w:rFonts w:ascii="Nunito" w:eastAsia="Nunito" w:hAnsi="Nunito" w:cs="Nunito"/>
              </w:rPr>
              <w:t>Avenue’s existi</w:t>
            </w:r>
            <w:r>
              <w:rPr>
                <w:rFonts w:ascii="Nunito" w:eastAsia="Nunito" w:hAnsi="Nunito" w:cs="Nunito"/>
              </w:rPr>
              <w:t>ng</w:t>
            </w:r>
            <w:proofErr w:type="gramEnd"/>
            <w:r>
              <w:rPr>
                <w:rFonts w:ascii="Nunito" w:eastAsia="Nunito" w:hAnsi="Nunito" w:cs="Nunito"/>
              </w:rPr>
              <w:t xml:space="preserve"> participant caseload and the pipeline of prospective participants.</w:t>
            </w:r>
          </w:p>
          <w:p w:rsidR="00FA367A" w:rsidRDefault="00CD4B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Responding to enquiries from potential referrers and new participants.</w:t>
            </w:r>
          </w:p>
          <w:p w:rsidR="00FA367A" w:rsidRDefault="00CD4B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Management of participant recruitment involving initial tours, trial days, the completion of intake procedures/documentation and the introduction of the new participant to the co-working space.</w:t>
            </w:r>
          </w:p>
          <w:p w:rsidR="00FA367A" w:rsidRDefault="00CD4B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Understanding of participants overall NDIS budget and coordina</w:t>
            </w:r>
            <w:r>
              <w:rPr>
                <w:rFonts w:ascii="Nunito" w:eastAsia="Nunito" w:hAnsi="Nunito" w:cs="Nunito"/>
              </w:rPr>
              <w:t>tion of Schedule of Supports and any ongoing change to the Schedule of Supports including coordinating changes which may be to another location or enterprise within Fighting Chance</w:t>
            </w:r>
          </w:p>
          <w:p w:rsidR="00FA367A" w:rsidRDefault="00CD4B37">
            <w:pPr>
              <w:numPr>
                <w:ilvl w:val="0"/>
                <w:numId w:val="6"/>
              </w:numP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Proactive support for participants with NDIS plan reviews including the pro</w:t>
            </w:r>
            <w:r>
              <w:rPr>
                <w:rFonts w:ascii="Nunito" w:eastAsia="Nunito" w:hAnsi="Nunito" w:cs="Nunito"/>
              </w:rPr>
              <w:t>vision of documentation.</w:t>
            </w:r>
          </w:p>
          <w:p w:rsidR="00FA367A" w:rsidRDefault="00CD4B37">
            <w:pPr>
              <w:numPr>
                <w:ilvl w:val="0"/>
                <w:numId w:val="6"/>
              </w:numPr>
              <w:spacing w:after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With the Manager, maintain an ongoing dialogue with participants and families to manage issues, grievances, and feedback on services.</w:t>
            </w:r>
          </w:p>
          <w:p w:rsidR="00FA367A" w:rsidRDefault="00CD4B37">
            <w:pPr>
              <w:numPr>
                <w:ilvl w:val="0"/>
                <w:numId w:val="6"/>
              </w:numP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Coordinate Monthly newsletter to participants/families.</w:t>
            </w:r>
          </w:p>
          <w:p w:rsidR="00FA367A" w:rsidRDefault="00CD4B37">
            <w:pPr>
              <w:numPr>
                <w:ilvl w:val="0"/>
                <w:numId w:val="6"/>
              </w:numP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Coordinate periodic family surveys/feedba</w:t>
            </w:r>
            <w:r>
              <w:rPr>
                <w:rFonts w:ascii="Nunito" w:eastAsia="Nunito" w:hAnsi="Nunito" w:cs="Nunito"/>
              </w:rPr>
              <w:t>ck on services.</w:t>
            </w:r>
          </w:p>
          <w:p w:rsidR="00FA367A" w:rsidRDefault="00CD4B37">
            <w:pPr>
              <w:numPr>
                <w:ilvl w:val="0"/>
                <w:numId w:val="6"/>
              </w:numP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Actively participate in regular discussions amongst Community Engagement Leads, focused on best practice, problem-solving, resource improvement, policy and procedure review.</w:t>
            </w:r>
          </w:p>
          <w:p w:rsidR="00FA367A" w:rsidRDefault="00CD4B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Developing and maintaining relations within the local community an</w:t>
            </w:r>
            <w:r>
              <w:rPr>
                <w:rFonts w:ascii="Nunito" w:eastAsia="Nunito" w:hAnsi="Nunito" w:cs="Nunito"/>
              </w:rPr>
              <w:t>d with a local referral network.</w:t>
            </w:r>
          </w:p>
          <w:p w:rsidR="00FA367A" w:rsidRDefault="00CD4B37">
            <w:pPr>
              <w:numPr>
                <w:ilvl w:val="0"/>
                <w:numId w:val="6"/>
              </w:numP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Managing and attending expos and similar post-school promotional events.</w:t>
            </w:r>
          </w:p>
        </w:tc>
      </w:tr>
      <w:tr w:rsidR="00FA367A">
        <w:trPr>
          <w:trHeight w:val="420"/>
        </w:trPr>
        <w:tc>
          <w:tcPr>
            <w:tcW w:w="1710" w:type="dxa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General Duties</w:t>
            </w:r>
          </w:p>
        </w:tc>
        <w:tc>
          <w:tcPr>
            <w:tcW w:w="8642" w:type="dxa"/>
            <w:gridSpan w:val="3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General duties include:</w:t>
            </w:r>
          </w:p>
          <w:p w:rsidR="00FA367A" w:rsidRDefault="00CD4B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Performing other relevant duties as directed by Avenue management within your level of training and/or competency.</w:t>
            </w:r>
          </w:p>
        </w:tc>
      </w:tr>
      <w:tr w:rsidR="00FA367A">
        <w:trPr>
          <w:trHeight w:val="420"/>
        </w:trPr>
        <w:tc>
          <w:tcPr>
            <w:tcW w:w="1710" w:type="dxa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Reporting </w:t>
            </w:r>
          </w:p>
        </w:tc>
        <w:tc>
          <w:tcPr>
            <w:tcW w:w="8642" w:type="dxa"/>
            <w:gridSpan w:val="3"/>
          </w:tcPr>
          <w:p w:rsidR="00FA367A" w:rsidRDefault="00CD4B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720" w:hanging="360"/>
            </w:pPr>
            <w:r>
              <w:rPr>
                <w:rFonts w:ascii="Nunito" w:eastAsia="Nunito" w:hAnsi="Nunito" w:cs="Nunito"/>
                <w:b/>
              </w:rPr>
              <w:t>Reports to:</w:t>
            </w:r>
            <w:r>
              <w:rPr>
                <w:rFonts w:ascii="Nunito" w:eastAsia="Nunito" w:hAnsi="Nunito" w:cs="Nunito"/>
              </w:rPr>
              <w:t xml:space="preserve"> Manager, Avenue Parramatta</w:t>
            </w:r>
          </w:p>
          <w:p w:rsidR="00FA367A" w:rsidRDefault="00CD4B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720" w:hanging="360"/>
            </w:pPr>
            <w:r>
              <w:rPr>
                <w:rFonts w:ascii="Nunito" w:eastAsia="Nunito" w:hAnsi="Nunito" w:cs="Nunito"/>
                <w:b/>
              </w:rPr>
              <w:t>Direct Reports:</w:t>
            </w:r>
            <w:r>
              <w:rPr>
                <w:rFonts w:ascii="Nunito" w:eastAsia="Nunito" w:hAnsi="Nunito" w:cs="Nunito"/>
              </w:rPr>
              <w:t xml:space="preserve"> Nil</w:t>
            </w:r>
          </w:p>
          <w:p w:rsidR="00FA367A" w:rsidRDefault="00CD4B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720" w:hanging="360"/>
            </w:pPr>
            <w:r>
              <w:rPr>
                <w:rFonts w:ascii="Nunito" w:eastAsia="Nunito" w:hAnsi="Nunito" w:cs="Nunito"/>
                <w:b/>
              </w:rPr>
              <w:t>Member of:</w:t>
            </w:r>
            <w:r>
              <w:rPr>
                <w:rFonts w:ascii="Nunito" w:eastAsia="Nunito" w:hAnsi="Nunito" w:cs="Nunito"/>
              </w:rPr>
              <w:t xml:space="preserve">  Avenue Parramatta; Community Engagement Team</w:t>
            </w:r>
          </w:p>
        </w:tc>
      </w:tr>
    </w:tbl>
    <w:p w:rsidR="00FA367A" w:rsidRDefault="00FA3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0"/>
        <w:tblW w:w="1034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A367A">
        <w:trPr>
          <w:trHeight w:val="680"/>
        </w:trPr>
        <w:tc>
          <w:tcPr>
            <w:tcW w:w="10348" w:type="dxa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  <w:color w:val="000000"/>
              </w:rPr>
              <w:lastRenderedPageBreak/>
              <w:t>Values and Behaviour</w:t>
            </w:r>
          </w:p>
          <w:p w:rsidR="00FA367A" w:rsidRDefault="00CD4B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360"/>
              <w:rPr>
                <w:rFonts w:ascii="Nunito" w:eastAsia="Nunito" w:hAnsi="Nunito" w:cs="Nunito"/>
                <w:color w:val="000000"/>
              </w:rPr>
            </w:pPr>
            <w:r>
              <w:rPr>
                <w:rFonts w:ascii="Nunito" w:eastAsia="Nunito" w:hAnsi="Nunito" w:cs="Nunito"/>
                <w:color w:val="000000"/>
              </w:rPr>
              <w:t>Promote and role model appropriate behaviour to support Fighting Chance’s culture, performance and brand</w:t>
            </w:r>
          </w:p>
          <w:p w:rsidR="00FA367A" w:rsidRDefault="00CD4B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Nunito" w:eastAsia="Nunito" w:hAnsi="Nunito" w:cs="Nunito"/>
                <w:color w:val="000000"/>
              </w:rPr>
            </w:pPr>
            <w:r>
              <w:rPr>
                <w:rFonts w:ascii="Nunito" w:eastAsia="Nunito" w:hAnsi="Nunito" w:cs="Nunito"/>
                <w:color w:val="000000"/>
              </w:rPr>
              <w:t>Actively support Fighting Chance’s commitment to the principles of diversity, inclusion and EEO</w:t>
            </w:r>
          </w:p>
          <w:p w:rsidR="00FA367A" w:rsidRDefault="00CD4B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Nunito" w:eastAsia="Nunito" w:hAnsi="Nunito" w:cs="Nunito"/>
                <w:color w:val="000000"/>
              </w:rPr>
            </w:pPr>
            <w:r>
              <w:rPr>
                <w:rFonts w:ascii="Nunito" w:eastAsia="Nunito" w:hAnsi="Nunito" w:cs="Nunito"/>
                <w:color w:val="000000"/>
              </w:rPr>
              <w:t>Constructively contribute and coll</w:t>
            </w:r>
            <w:r>
              <w:rPr>
                <w:rFonts w:ascii="Nunito" w:eastAsia="Nunito" w:hAnsi="Nunito" w:cs="Nunito"/>
                <w:color w:val="000000"/>
              </w:rPr>
              <w:t>aborate with all colleagues</w:t>
            </w:r>
          </w:p>
          <w:p w:rsidR="00FA367A" w:rsidRDefault="00CD4B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Nunito" w:eastAsia="Nunito" w:hAnsi="Nunito" w:cs="Nunito"/>
                <w:color w:val="000000"/>
              </w:rPr>
            </w:pPr>
            <w:r>
              <w:rPr>
                <w:rFonts w:ascii="Nunito" w:eastAsia="Nunito" w:hAnsi="Nunito" w:cs="Nunito"/>
                <w:color w:val="000000"/>
              </w:rPr>
              <w:t>Actively demonstrate the organisational values:</w:t>
            </w:r>
          </w:p>
          <w:p w:rsidR="00FA367A" w:rsidRDefault="00CD4B3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Nunito" w:eastAsia="Nunito" w:hAnsi="Nunito" w:cs="Nunito"/>
                <w:color w:val="000000"/>
              </w:rPr>
            </w:pPr>
            <w:r>
              <w:rPr>
                <w:rFonts w:ascii="Nunito" w:eastAsia="Nunito" w:hAnsi="Nunito" w:cs="Nunito"/>
                <w:color w:val="000000"/>
              </w:rPr>
              <w:t>Our community is built on inclusiveness, equality and empowerment.</w:t>
            </w:r>
          </w:p>
          <w:p w:rsidR="00FA367A" w:rsidRDefault="00CD4B3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Nunito" w:eastAsia="Nunito" w:hAnsi="Nunito" w:cs="Nunito"/>
                <w:color w:val="000000"/>
              </w:rPr>
            </w:pPr>
            <w:r>
              <w:rPr>
                <w:rFonts w:ascii="Nunito" w:eastAsia="Nunito" w:hAnsi="Nunito" w:cs="Nunito"/>
                <w:color w:val="000000"/>
              </w:rPr>
              <w:t>We approach everything we do with innovation and dynamism</w:t>
            </w:r>
          </w:p>
          <w:p w:rsidR="00FA367A" w:rsidRDefault="00CD4B3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Nunito" w:eastAsia="Nunito" w:hAnsi="Nunito" w:cs="Nunito"/>
                <w:color w:val="000000"/>
              </w:rPr>
            </w:pPr>
            <w:r>
              <w:rPr>
                <w:rFonts w:ascii="Nunito" w:eastAsia="Nunito" w:hAnsi="Nunito" w:cs="Nunito"/>
                <w:color w:val="000000"/>
              </w:rPr>
              <w:t>Our social enterprises will always be responsive, sustainable and excellent</w:t>
            </w:r>
          </w:p>
          <w:p w:rsidR="00FA367A" w:rsidRDefault="00CD4B3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Nunito" w:eastAsia="Nunito" w:hAnsi="Nunito" w:cs="Nunito"/>
                <w:color w:val="000000"/>
              </w:rPr>
            </w:pPr>
            <w:r>
              <w:rPr>
                <w:rFonts w:ascii="Nunito" w:eastAsia="Nunito" w:hAnsi="Nunito" w:cs="Nunito"/>
                <w:color w:val="000000"/>
              </w:rPr>
              <w:t>Our work will make a contribution and have impact</w:t>
            </w:r>
          </w:p>
          <w:p w:rsidR="00FA367A" w:rsidRDefault="00CD4B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Nunito" w:eastAsia="Nunito" w:hAnsi="Nunito" w:cs="Nunito"/>
                <w:color w:val="000000"/>
              </w:rPr>
            </w:pPr>
            <w:r>
              <w:rPr>
                <w:rFonts w:ascii="Nunito" w:eastAsia="Nunito" w:hAnsi="Nunito" w:cs="Nunito"/>
                <w:color w:val="000000"/>
              </w:rPr>
              <w:t>Deliver high quality work that supports our operating environment</w:t>
            </w:r>
          </w:p>
          <w:p w:rsidR="00FA367A" w:rsidRDefault="00CD4B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Nunito" w:eastAsia="Nunito" w:hAnsi="Nunito" w:cs="Nunito"/>
                <w:color w:val="000000"/>
              </w:rPr>
            </w:pPr>
            <w:r>
              <w:rPr>
                <w:rFonts w:ascii="Nunito" w:eastAsia="Nunito" w:hAnsi="Nunito" w:cs="Nunito"/>
                <w:color w:val="000000"/>
              </w:rPr>
              <w:t>Demonstrate compliance with all legislation and policies and pro</w:t>
            </w:r>
            <w:r>
              <w:rPr>
                <w:rFonts w:ascii="Nunito" w:eastAsia="Nunito" w:hAnsi="Nunito" w:cs="Nunito"/>
                <w:color w:val="000000"/>
              </w:rPr>
              <w:t>cedures</w:t>
            </w:r>
          </w:p>
        </w:tc>
      </w:tr>
      <w:tr w:rsidR="00FA367A">
        <w:trPr>
          <w:trHeight w:val="1160"/>
        </w:trPr>
        <w:tc>
          <w:tcPr>
            <w:tcW w:w="10348" w:type="dxa"/>
          </w:tcPr>
          <w:p w:rsidR="00FA367A" w:rsidRDefault="00CD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  <w:color w:val="000000"/>
              </w:rPr>
              <w:t>Health, Safety &amp; Wellbeing</w:t>
            </w:r>
          </w:p>
          <w:p w:rsidR="00FA367A" w:rsidRDefault="00CD4B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36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Adhere</w:t>
            </w:r>
            <w:r>
              <w:rPr>
                <w:rFonts w:ascii="Nunito" w:eastAsia="Nunito" w:hAnsi="Nunito" w:cs="Nunito"/>
                <w:color w:val="000000"/>
              </w:rPr>
              <w:t xml:space="preserve"> to all health and safety policies and procedures of Fighting Chance and take all reasonable care that your actions or omissions do not impact on the health and safety of others</w:t>
            </w:r>
          </w:p>
        </w:tc>
      </w:tr>
    </w:tbl>
    <w:p w:rsidR="00FA367A" w:rsidRDefault="00FA367A">
      <w:pPr>
        <w:spacing w:before="48" w:after="48" w:line="240" w:lineRule="auto"/>
        <w:rPr>
          <w:b/>
          <w:i/>
        </w:rPr>
      </w:pPr>
    </w:p>
    <w:tbl>
      <w:tblPr>
        <w:tblStyle w:val="a1"/>
        <w:tblW w:w="10348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3"/>
        <w:gridCol w:w="7875"/>
      </w:tblGrid>
      <w:tr w:rsidR="00FA367A">
        <w:trPr>
          <w:trHeight w:val="420"/>
        </w:trPr>
        <w:tc>
          <w:tcPr>
            <w:tcW w:w="10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67A" w:rsidRDefault="00CD4B37">
            <w:pPr>
              <w:widowControl w:val="0"/>
              <w:spacing w:after="0" w:line="240" w:lineRule="auto"/>
              <w:jc w:val="center"/>
              <w:rPr>
                <w:rFonts w:ascii="Raleway" w:eastAsia="Raleway" w:hAnsi="Raleway" w:cs="Raleway"/>
                <w:b/>
                <w:i/>
              </w:rPr>
            </w:pPr>
            <w:r>
              <w:rPr>
                <w:rFonts w:ascii="Raleway" w:eastAsia="Raleway" w:hAnsi="Raleway" w:cs="Raleway"/>
                <w:b/>
              </w:rPr>
              <w:t>Core Competencies</w:t>
            </w:r>
          </w:p>
        </w:tc>
      </w:tr>
      <w:tr w:rsidR="00FA367A"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67A" w:rsidRDefault="00CD4B37">
            <w:pPr>
              <w:widowControl w:val="0"/>
              <w:spacing w:after="0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Qualifications and Experience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67A" w:rsidRDefault="00CD4B37">
            <w:pPr>
              <w:numPr>
                <w:ilvl w:val="0"/>
                <w:numId w:val="2"/>
              </w:numPr>
              <w:spacing w:before="48"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 relevant tertiary qualification (social/community services/allied health) and/or 3+ years recent experience in a customer-centric position.</w:t>
            </w:r>
          </w:p>
          <w:p w:rsidR="00FA367A" w:rsidRDefault="00CD4B37">
            <w:pPr>
              <w:numPr>
                <w:ilvl w:val="0"/>
                <w:numId w:val="2"/>
              </w:numPr>
              <w:spacing w:after="48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Operational, customer service and/or administrative business experience.</w:t>
            </w:r>
          </w:p>
        </w:tc>
      </w:tr>
      <w:tr w:rsidR="00FA367A"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67A" w:rsidRDefault="00CD4B37">
            <w:pPr>
              <w:spacing w:after="0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Skills and attributes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67A" w:rsidRDefault="00CD4B37">
            <w:pPr>
              <w:numPr>
                <w:ilvl w:val="0"/>
                <w:numId w:val="2"/>
              </w:numPr>
              <w:spacing w:before="48"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Excellent customer service skills</w:t>
            </w:r>
          </w:p>
          <w:p w:rsidR="00FA367A" w:rsidRDefault="00CD4B37">
            <w:pPr>
              <w:numPr>
                <w:ilvl w:val="0"/>
                <w:numId w:val="2"/>
              </w:numPr>
              <w:spacing w:before="48"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Strong verbal and written communications</w:t>
            </w:r>
          </w:p>
          <w:p w:rsidR="00FA367A" w:rsidRDefault="00CD4B37">
            <w:pPr>
              <w:numPr>
                <w:ilvl w:val="0"/>
                <w:numId w:val="2"/>
              </w:numPr>
              <w:spacing w:before="48"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 high level of empathy and interpersonal skills</w:t>
            </w:r>
          </w:p>
          <w:p w:rsidR="00FA367A" w:rsidRDefault="00CD4B37">
            <w:pPr>
              <w:numPr>
                <w:ilvl w:val="0"/>
                <w:numId w:val="2"/>
              </w:numPr>
              <w:spacing w:before="48"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Demonstrated experience in developing and maintaining relationships</w:t>
            </w:r>
          </w:p>
          <w:p w:rsidR="00FA367A" w:rsidRDefault="00CD4B37">
            <w:pPr>
              <w:numPr>
                <w:ilvl w:val="0"/>
                <w:numId w:val="2"/>
              </w:numPr>
              <w:spacing w:after="0" w:line="240" w:lineRule="auto"/>
              <w:rPr>
                <w:rFonts w:ascii="Nunito" w:eastAsia="Nunito" w:hAnsi="Nunito" w:cs="Nunito"/>
                <w:color w:val="1C1C1C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1C1C1C"/>
                <w:sz w:val="24"/>
                <w:szCs w:val="24"/>
              </w:rPr>
              <w:t>Strong organisational skills to juggle mul</w:t>
            </w:r>
            <w:r>
              <w:rPr>
                <w:rFonts w:ascii="Nunito" w:eastAsia="Nunito" w:hAnsi="Nunito" w:cs="Nunito"/>
                <w:color w:val="1C1C1C"/>
                <w:sz w:val="24"/>
                <w:szCs w:val="24"/>
              </w:rPr>
              <w:t>tiple scenarios and the ability to prioritise in response to dynamic business needs</w:t>
            </w:r>
          </w:p>
          <w:p w:rsidR="00FA367A" w:rsidRDefault="00CD4B37">
            <w:pPr>
              <w:numPr>
                <w:ilvl w:val="0"/>
                <w:numId w:val="2"/>
              </w:numP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Ability to work hands-on as part of a team, and autonomously when required</w:t>
            </w:r>
          </w:p>
          <w:p w:rsidR="00FA367A" w:rsidRDefault="00CD4B37">
            <w:pPr>
              <w:numPr>
                <w:ilvl w:val="0"/>
                <w:numId w:val="2"/>
              </w:numPr>
              <w:spacing w:after="0" w:line="240" w:lineRule="auto"/>
              <w:rPr>
                <w:rFonts w:ascii="Nunito" w:eastAsia="Nunito" w:hAnsi="Nunito" w:cs="Nunito"/>
              </w:rPr>
            </w:pPr>
            <w:bookmarkStart w:id="1" w:name="_30j0zll" w:colFirst="0" w:colLast="0"/>
            <w:bookmarkEnd w:id="1"/>
            <w:r>
              <w:rPr>
                <w:rFonts w:ascii="Nunito" w:eastAsia="Nunito" w:hAnsi="Nunito" w:cs="Nunito"/>
              </w:rPr>
              <w:t>Desirable - understanding of (and/or experience with) NDIS and working with people with disabilit</w:t>
            </w:r>
            <w:r>
              <w:rPr>
                <w:rFonts w:ascii="Nunito" w:eastAsia="Nunito" w:hAnsi="Nunito" w:cs="Nunito"/>
              </w:rPr>
              <w:t>y</w:t>
            </w:r>
          </w:p>
        </w:tc>
      </w:tr>
      <w:tr w:rsidR="00FA367A"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67A" w:rsidRDefault="00CD4B37">
            <w:pPr>
              <w:spacing w:after="0"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Other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67A" w:rsidRDefault="00CD4B37">
            <w:pPr>
              <w:spacing w:before="48" w:after="48"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Required to: </w:t>
            </w:r>
          </w:p>
          <w:p w:rsidR="00FA367A" w:rsidRDefault="00CD4B37">
            <w:pPr>
              <w:numPr>
                <w:ilvl w:val="0"/>
                <w:numId w:val="2"/>
              </w:numPr>
              <w:spacing w:before="48"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Possess the right to work in Australia</w:t>
            </w:r>
          </w:p>
          <w:p w:rsidR="00FA367A" w:rsidRDefault="00CD4B37">
            <w:pPr>
              <w:numPr>
                <w:ilvl w:val="0"/>
                <w:numId w:val="2"/>
              </w:numP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Travel domestically on occasion, and travel within Sydney between Co-Working Spaces </w:t>
            </w:r>
          </w:p>
          <w:p w:rsidR="00FA367A" w:rsidRDefault="00CD4B37">
            <w:pPr>
              <w:numPr>
                <w:ilvl w:val="0"/>
                <w:numId w:val="2"/>
              </w:numP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Possess a current satisfactory National Police Clearance Certificate and Working With Children Check</w:t>
            </w:r>
          </w:p>
          <w:p w:rsidR="00FA367A" w:rsidRDefault="00CD4B37">
            <w:pPr>
              <w:numPr>
                <w:ilvl w:val="0"/>
                <w:numId w:val="2"/>
              </w:numPr>
              <w:spacing w:after="0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Possess a current unrestricted NSW driver's license</w:t>
            </w:r>
          </w:p>
          <w:p w:rsidR="00FA367A" w:rsidRDefault="00CD4B37">
            <w:pPr>
              <w:numPr>
                <w:ilvl w:val="0"/>
                <w:numId w:val="2"/>
              </w:numPr>
              <w:spacing w:after="48"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Be available and willing to work at events on weekends and evenings on </w:t>
            </w:r>
            <w:r>
              <w:rPr>
                <w:rFonts w:ascii="Nunito" w:eastAsia="Nunito" w:hAnsi="Nunito" w:cs="Nunito"/>
              </w:rPr>
              <w:lastRenderedPageBreak/>
              <w:t>occasion</w:t>
            </w:r>
          </w:p>
        </w:tc>
      </w:tr>
    </w:tbl>
    <w:p w:rsidR="00FA367A" w:rsidRDefault="00CD4B37">
      <w:pPr>
        <w:spacing w:before="48" w:after="48" w:line="240" w:lineRule="auto"/>
        <w:ind w:left="450"/>
        <w:rPr>
          <w:rFonts w:ascii="Raleway" w:eastAsia="Raleway" w:hAnsi="Raleway" w:cs="Raleway"/>
          <w:i/>
          <w:sz w:val="20"/>
          <w:szCs w:val="20"/>
        </w:rPr>
      </w:pPr>
      <w:r>
        <w:rPr>
          <w:rFonts w:ascii="Raleway" w:eastAsia="Raleway" w:hAnsi="Raleway" w:cs="Raleway"/>
          <w:i/>
          <w:sz w:val="20"/>
          <w:szCs w:val="20"/>
        </w:rPr>
        <w:lastRenderedPageBreak/>
        <w:t xml:space="preserve">This description defines the broad responsibilities of this position and may change based on organisational need. </w:t>
      </w:r>
    </w:p>
    <w:p w:rsidR="00FA367A" w:rsidRDefault="00FA367A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rPr>
          <w:b/>
          <w:i/>
        </w:rPr>
      </w:pPr>
    </w:p>
    <w:p w:rsidR="00FA367A" w:rsidRDefault="00FA367A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rPr>
          <w:b/>
          <w:i/>
        </w:rPr>
      </w:pPr>
    </w:p>
    <w:sectPr w:rsidR="00FA3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454" w:bottom="720" w:left="23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37" w:rsidRDefault="00CD4B37">
      <w:pPr>
        <w:spacing w:after="0" w:line="240" w:lineRule="auto"/>
      </w:pPr>
      <w:r>
        <w:separator/>
      </w:r>
    </w:p>
  </w:endnote>
  <w:endnote w:type="continuationSeparator" w:id="0">
    <w:p w:rsidR="00CD4B37" w:rsidRDefault="00CD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default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7A" w:rsidRDefault="00FA36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7A" w:rsidRDefault="00CD4B37">
    <w:pPr>
      <w:spacing w:after="0" w:line="240" w:lineRule="auto"/>
      <w:jc w:val="center"/>
      <w:rPr>
        <w:color w:val="000000"/>
      </w:rPr>
    </w:pPr>
    <w:bookmarkStart w:id="2" w:name="_ydvwj9z7o9nk" w:colFirst="0" w:colLast="0"/>
    <w:bookmarkEnd w:id="2"/>
    <w:r>
      <w:rPr>
        <w:noProof/>
        <w:sz w:val="8"/>
        <w:szCs w:val="8"/>
      </w:rPr>
      <w:drawing>
        <wp:inline distT="114300" distB="114300" distL="114300" distR="114300">
          <wp:extent cx="1123950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090"/>
                  <a:stretch>
                    <a:fillRect/>
                  </a:stretch>
                </pic:blipFill>
                <pic:spPr>
                  <a:xfrm>
                    <a:off x="0" y="0"/>
                    <a:ext cx="11239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7A" w:rsidRDefault="00FA36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37" w:rsidRDefault="00CD4B37">
      <w:pPr>
        <w:spacing w:after="0" w:line="240" w:lineRule="auto"/>
      </w:pPr>
      <w:r>
        <w:separator/>
      </w:r>
    </w:p>
  </w:footnote>
  <w:footnote w:type="continuationSeparator" w:id="0">
    <w:p w:rsidR="00CD4B37" w:rsidRDefault="00CD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7A" w:rsidRDefault="00FA36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7A" w:rsidRDefault="00CD4B37">
    <w:pPr>
      <w:spacing w:after="0" w:line="240" w:lineRule="auto"/>
      <w:jc w:val="center"/>
      <w:rPr>
        <w:color w:val="000000"/>
        <w:sz w:val="6"/>
        <w:szCs w:val="6"/>
      </w:rPr>
    </w:pPr>
    <w:r>
      <w:rPr>
        <w:b/>
        <w:noProof/>
        <w:sz w:val="8"/>
        <w:szCs w:val="8"/>
      </w:rPr>
      <w:drawing>
        <wp:inline distT="114300" distB="114300" distL="114300" distR="114300">
          <wp:extent cx="1866900" cy="73342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904" t="12500" r="8715"/>
                  <a:stretch>
                    <a:fillRect/>
                  </a:stretch>
                </pic:blipFill>
                <pic:spPr>
                  <a:xfrm>
                    <a:off x="0" y="0"/>
                    <a:ext cx="18669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7A" w:rsidRDefault="00CD4B37">
    <w:pPr>
      <w:rPr>
        <w:color w:val="000000"/>
      </w:rPr>
    </w:pPr>
    <w:bookmarkStart w:id="3" w:name="_gjdgxs" w:colFirst="0" w:colLast="0"/>
    <w:bookmarkEnd w:id="3"/>
    <w:r>
      <w:rPr>
        <w:b/>
        <w:noProof/>
      </w:rPr>
      <w:drawing>
        <wp:inline distT="114300" distB="114300" distL="114300" distR="114300">
          <wp:extent cx="1866900" cy="8334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904" r="8715"/>
                  <a:stretch>
                    <a:fillRect/>
                  </a:stretch>
                </pic:blipFill>
                <pic:spPr>
                  <a:xfrm>
                    <a:off x="0" y="0"/>
                    <a:ext cx="1866900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35A"/>
    <w:multiLevelType w:val="multilevel"/>
    <w:tmpl w:val="81786C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AA94F1A"/>
    <w:multiLevelType w:val="multilevel"/>
    <w:tmpl w:val="DDBC2E3A"/>
    <w:lvl w:ilvl="0">
      <w:start w:val="1"/>
      <w:numFmt w:val="bullet"/>
      <w:lvlText w:val="●"/>
      <w:lvlJc w:val="left"/>
      <w:pPr>
        <w:ind w:left="284" w:hanging="284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364" w:hanging="28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8C61400"/>
    <w:multiLevelType w:val="multilevel"/>
    <w:tmpl w:val="0DB660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>
    <w:nsid w:val="6C011FD5"/>
    <w:multiLevelType w:val="multilevel"/>
    <w:tmpl w:val="C06463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>
    <w:nsid w:val="70623F19"/>
    <w:multiLevelType w:val="multilevel"/>
    <w:tmpl w:val="BF7A4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D475801"/>
    <w:multiLevelType w:val="multilevel"/>
    <w:tmpl w:val="DD78C11C"/>
    <w:lvl w:ilvl="0">
      <w:start w:val="1"/>
      <w:numFmt w:val="bullet"/>
      <w:lvlText w:val="●"/>
      <w:lvlJc w:val="left"/>
      <w:pPr>
        <w:ind w:left="284" w:hanging="284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364" w:hanging="28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367A"/>
    <w:rsid w:val="00CD4B37"/>
    <w:rsid w:val="00D20022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Bainbridge</dc:creator>
  <cp:lastModifiedBy>Georgia Bainbridge</cp:lastModifiedBy>
  <cp:revision>2</cp:revision>
  <dcterms:created xsi:type="dcterms:W3CDTF">2019-11-25T23:34:00Z</dcterms:created>
  <dcterms:modified xsi:type="dcterms:W3CDTF">2019-11-25T23:34:00Z</dcterms:modified>
</cp:coreProperties>
</file>